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622B7D" w14:textId="77777777" w:rsidR="00733140" w:rsidRDefault="00000000">
      <w:pPr>
        <w:spacing w:after="40"/>
      </w:pPr>
      <w:r>
        <w:rPr>
          <w:b/>
          <w:bCs/>
          <w:color w:val="1F4E79"/>
          <w:sz w:val="40"/>
          <w:szCs w:val="40"/>
        </w:rPr>
        <w:t>Luis C. Naar, MD</w:t>
      </w:r>
    </w:p>
    <w:p w14:paraId="582B1CA5" w14:textId="77777777" w:rsidR="00733140" w:rsidRDefault="00000000">
      <w:r>
        <w:rPr>
          <w:color w:val="555555"/>
        </w:rPr>
        <w:t>luis.naar@meduniwien.ac.at</w:t>
      </w:r>
    </w:p>
    <w:p w14:paraId="08F6D5AA" w14:textId="77777777" w:rsidR="00733140" w:rsidRDefault="00000000">
      <w:pPr>
        <w:spacing w:after="200"/>
      </w:pPr>
      <w:r>
        <w:rPr>
          <w:color w:val="555555"/>
        </w:rPr>
        <w:t>Department of Internal Medicine III, Vienna General Hospital (AKH Wien)</w:t>
      </w:r>
    </w:p>
    <w:p w14:paraId="006F8792" w14:textId="77777777" w:rsidR="00733140" w:rsidRDefault="00000000">
      <w:pPr>
        <w:pBdr>
          <w:bottom w:val="single" w:sz="6" w:space="1" w:color="1F4E79"/>
        </w:pBdr>
        <w:spacing w:before="280" w:after="80"/>
      </w:pPr>
      <w:r>
        <w:rPr>
          <w:b/>
          <w:bCs/>
          <w:color w:val="1F4E79"/>
          <w:sz w:val="24"/>
          <w:szCs w:val="24"/>
        </w:rPr>
        <w:t>Education</w:t>
      </w:r>
    </w:p>
    <w:p w14:paraId="51B090FA" w14:textId="77777777" w:rsidR="00733140" w:rsidRDefault="00000000">
      <w:pPr>
        <w:spacing w:before="100"/>
      </w:pPr>
      <w:r>
        <w:rPr>
          <w:b/>
          <w:bCs/>
        </w:rPr>
        <w:t>10/2024 – present  Doctoral Programme in Applied Medical Science</w:t>
      </w:r>
    </w:p>
    <w:p w14:paraId="7DB6B5B6" w14:textId="77777777" w:rsidR="00733140" w:rsidRDefault="00000000">
      <w:pPr>
        <w:spacing w:after="80"/>
        <w:ind w:left="200"/>
      </w:pPr>
      <w:r>
        <w:rPr>
          <w:color w:val="333333"/>
        </w:rPr>
        <w:t>Medical University of Vienna · Epidemiology · Supervisor: Prof. Manfred Hecking, PhD</w:t>
      </w:r>
    </w:p>
    <w:p w14:paraId="65660C30" w14:textId="77777777" w:rsidR="00733140" w:rsidRDefault="00000000">
      <w:pPr>
        <w:spacing w:before="100"/>
      </w:pPr>
      <w:r>
        <w:rPr>
          <w:b/>
          <w:bCs/>
        </w:rPr>
        <w:t>08/2024 – present  Residency in Internal Medicine &amp; Nephrology</w:t>
      </w:r>
    </w:p>
    <w:p w14:paraId="16EE7E0F" w14:textId="77777777" w:rsidR="00733140" w:rsidRDefault="00000000">
      <w:pPr>
        <w:spacing w:after="80"/>
        <w:ind w:left="200"/>
      </w:pPr>
      <w:r>
        <w:rPr>
          <w:color w:val="333333"/>
        </w:rPr>
        <w:t>Vienna General Hospital (AKH Wien) – Dept. of Internal Medicine III (Head: Prof. Rainer Oberbauer)</w:t>
      </w:r>
    </w:p>
    <w:p w14:paraId="5666B926" w14:textId="77777777" w:rsidR="00733140" w:rsidRDefault="00000000">
      <w:pPr>
        <w:spacing w:before="100"/>
      </w:pPr>
      <w:r>
        <w:rPr>
          <w:b/>
          <w:bCs/>
        </w:rPr>
        <w:t>11/2023 – 07/2024  Foundation Year (Basisausbildung)</w:t>
      </w:r>
    </w:p>
    <w:p w14:paraId="3DD9CD62" w14:textId="77777777" w:rsidR="00733140" w:rsidRDefault="00000000">
      <w:pPr>
        <w:spacing w:after="80"/>
        <w:ind w:left="200"/>
      </w:pPr>
      <w:r>
        <w:rPr>
          <w:color w:val="333333"/>
        </w:rPr>
        <w:t>University Hospital St. Poelten</w:t>
      </w:r>
    </w:p>
    <w:p w14:paraId="67A8F5A0" w14:textId="77777777" w:rsidR="00733140" w:rsidRDefault="00000000">
      <w:pPr>
        <w:spacing w:before="100"/>
      </w:pPr>
      <w:r>
        <w:rPr>
          <w:b/>
          <w:bCs/>
        </w:rPr>
        <w:t>10/2017 – 08/2023  MD (Diploma in Human Medicine)</w:t>
      </w:r>
    </w:p>
    <w:p w14:paraId="57E3F0D6" w14:textId="77777777" w:rsidR="00733140" w:rsidRDefault="00000000">
      <w:pPr>
        <w:spacing w:after="80"/>
        <w:ind w:left="200"/>
      </w:pPr>
      <w:r>
        <w:rPr>
          <w:color w:val="333333"/>
        </w:rPr>
        <w:t>Medical University of Vienna</w:t>
      </w:r>
    </w:p>
    <w:p w14:paraId="5E9B294B" w14:textId="77777777" w:rsidR="00733140" w:rsidRDefault="00000000">
      <w:pPr>
        <w:spacing w:after="80"/>
        <w:ind w:left="200"/>
      </w:pPr>
      <w:r>
        <w:rPr>
          <w:color w:val="333333"/>
        </w:rPr>
        <w:t>Thesis: "Medication adherence after kidney transplantation: Comparison of two Medication Event Monitoring Systems (MEMS) in clinical routine"</w:t>
      </w:r>
    </w:p>
    <w:p w14:paraId="018BFD23" w14:textId="77777777" w:rsidR="00733140" w:rsidRDefault="00000000">
      <w:pPr>
        <w:pBdr>
          <w:bottom w:val="single" w:sz="6" w:space="1" w:color="1F4E79"/>
        </w:pBdr>
        <w:spacing w:before="280" w:after="80"/>
      </w:pPr>
      <w:r>
        <w:rPr>
          <w:b/>
          <w:bCs/>
          <w:color w:val="1F4E79"/>
          <w:sz w:val="24"/>
          <w:szCs w:val="24"/>
        </w:rPr>
        <w:t>Research Experience</w:t>
      </w:r>
    </w:p>
    <w:p w14:paraId="727AE7DA" w14:textId="77777777" w:rsidR="00733140" w:rsidRDefault="00000000">
      <w:pPr>
        <w:spacing w:before="100"/>
      </w:pPr>
      <w:r>
        <w:rPr>
          <w:b/>
          <w:bCs/>
        </w:rPr>
        <w:t>10/2023 – present  Research Associate</w:t>
      </w:r>
    </w:p>
    <w:p w14:paraId="701D829D" w14:textId="77777777" w:rsidR="00733140" w:rsidRDefault="00000000">
      <w:pPr>
        <w:spacing w:after="80"/>
        <w:ind w:left="200"/>
      </w:pPr>
      <w:r>
        <w:rPr>
          <w:color w:val="333333"/>
        </w:rPr>
        <w:t>Center for Public Health, Medical University of Vienna · Research Group Prof. Manfred Hecking</w:t>
      </w:r>
    </w:p>
    <w:p w14:paraId="3728C655" w14:textId="77777777" w:rsidR="00733140" w:rsidRDefault="00000000">
      <w:pPr>
        <w:spacing w:after="80"/>
        <w:ind w:left="200"/>
      </w:pPr>
      <w:r>
        <w:rPr>
          <w:color w:val="333333"/>
        </w:rPr>
        <w:t>Focus: Renal replacement therapies, post-transplant diabetes mellitus</w:t>
      </w:r>
    </w:p>
    <w:p w14:paraId="324D8A1D" w14:textId="77777777" w:rsidR="00733140" w:rsidRDefault="00000000">
      <w:pPr>
        <w:spacing w:before="100"/>
      </w:pPr>
      <w:r>
        <w:rPr>
          <w:b/>
          <w:bCs/>
        </w:rPr>
        <w:t>01/2020 – 08/2023  Research Associate</w:t>
      </w:r>
    </w:p>
    <w:p w14:paraId="63B84F34" w14:textId="77777777" w:rsidR="00733140" w:rsidRDefault="00000000">
      <w:pPr>
        <w:spacing w:after="80"/>
        <w:ind w:left="200"/>
      </w:pPr>
      <w:r>
        <w:rPr>
          <w:color w:val="333333"/>
        </w:rPr>
        <w:t>Department of Nephrology and Dialysis, AKH Wien · Research Group Assoc. Prof. Gregor Bond</w:t>
      </w:r>
    </w:p>
    <w:p w14:paraId="30C36179" w14:textId="77777777" w:rsidR="00733140" w:rsidRDefault="00000000">
      <w:pPr>
        <w:spacing w:after="80"/>
        <w:ind w:left="200"/>
      </w:pPr>
      <w:r>
        <w:rPr>
          <w:color w:val="333333"/>
        </w:rPr>
        <w:t>Focus: Immune characterisation after kidney transplantation, medication adherence</w:t>
      </w:r>
    </w:p>
    <w:p w14:paraId="527F21CB" w14:textId="77777777" w:rsidR="00733140" w:rsidRDefault="00000000">
      <w:pPr>
        <w:spacing w:before="100"/>
      </w:pPr>
      <w:r>
        <w:rPr>
          <w:b/>
          <w:bCs/>
        </w:rPr>
        <w:t>2021, 2022, 2023  Research Grant</w:t>
      </w:r>
    </w:p>
    <w:p w14:paraId="7240437B" w14:textId="77777777" w:rsidR="00733140" w:rsidRDefault="00000000">
      <w:pPr>
        <w:spacing w:after="80"/>
        <w:ind w:left="200"/>
      </w:pPr>
      <w:r>
        <w:rPr>
          <w:color w:val="333333"/>
        </w:rPr>
        <w:t>FWF Austrian Science Fund</w:t>
      </w:r>
    </w:p>
    <w:p w14:paraId="2669C49D" w14:textId="77777777" w:rsidR="00733140" w:rsidRDefault="00000000">
      <w:pPr>
        <w:pBdr>
          <w:bottom w:val="single" w:sz="6" w:space="1" w:color="1F4E79"/>
        </w:pBdr>
        <w:spacing w:before="280" w:after="80"/>
      </w:pPr>
      <w:r>
        <w:rPr>
          <w:b/>
          <w:bCs/>
          <w:color w:val="1F4E79"/>
          <w:sz w:val="24"/>
          <w:szCs w:val="24"/>
        </w:rPr>
        <w:t>Publications</w:t>
      </w:r>
    </w:p>
    <w:p w14:paraId="42A88956" w14:textId="77777777" w:rsidR="00733140" w:rsidRDefault="00000000">
      <w:pPr>
        <w:spacing w:before="100" w:after="80"/>
      </w:pPr>
      <w:r>
        <w:rPr>
          <w:b/>
          <w:bCs/>
        </w:rPr>
        <w:t>Naar L</w:t>
      </w:r>
      <w:r>
        <w:rPr>
          <w:color w:val="555555"/>
        </w:rPr>
        <w:t xml:space="preserve">, Mussnig S, Niknam J, Brosch F, Krenn S, Mayer CC, Hecking M (2026). Reduction of pruritus and depression using longitudinal patient-reported outcome measures in hemodialysis: a quality improvement project. </w:t>
      </w:r>
      <w:r>
        <w:rPr>
          <w:i/>
          <w:iCs/>
          <w:color w:val="555555"/>
        </w:rPr>
        <w:t>Journal of Patient-Reported Outcomes.</w:t>
      </w:r>
    </w:p>
    <w:p w14:paraId="56A97AF6" w14:textId="77777777" w:rsidR="00733140" w:rsidRDefault="00000000">
      <w:pPr>
        <w:spacing w:after="80"/>
      </w:pPr>
      <w:r>
        <w:rPr>
          <w:color w:val="555555"/>
        </w:rPr>
        <w:t xml:space="preserve">Mussnig S, </w:t>
      </w:r>
      <w:r>
        <w:rPr>
          <w:b/>
          <w:bCs/>
        </w:rPr>
        <w:t>Naar L</w:t>
      </w:r>
      <w:r>
        <w:rPr>
          <w:color w:val="555555"/>
        </w:rPr>
        <w:t xml:space="preserve">, Krenn S, Brosch F, Schneditz D, Beige J, Hecking M (2025). Fluid Management Based on Bioimpedance, Blood Volume, and Patient Reports: A Quality Improvement Project in Maintenance Hemodialysis. </w:t>
      </w:r>
      <w:r>
        <w:rPr>
          <w:i/>
          <w:iCs/>
          <w:color w:val="555555"/>
        </w:rPr>
        <w:t>Kidney Medicine.</w:t>
      </w:r>
    </w:p>
    <w:p w14:paraId="3EDF1D96" w14:textId="77777777" w:rsidR="00733140" w:rsidRDefault="00000000">
      <w:pPr>
        <w:spacing w:after="80"/>
      </w:pPr>
      <w:r>
        <w:rPr>
          <w:color w:val="555555"/>
        </w:rPr>
        <w:t xml:space="preserve">Mussnig S, Krenn S, Waller M, Schmiedecker M, Kurnikowski A, Niknam Saeidi J, </w:t>
      </w:r>
      <w:r>
        <w:rPr>
          <w:b/>
          <w:bCs/>
        </w:rPr>
        <w:t>Naar L</w:t>
      </w:r>
      <w:r>
        <w:rPr>
          <w:color w:val="555555"/>
        </w:rPr>
        <w:t xml:space="preserve">, Mayer CC, Keane D, Schneditz D, Hecking M, Pstras L (2025). Longitudinal patterns of fluid overload, blood volume and vascular refilling: a prospective study in patients on maintenance hemodialysis. </w:t>
      </w:r>
      <w:r>
        <w:rPr>
          <w:i/>
          <w:iCs/>
          <w:color w:val="555555"/>
        </w:rPr>
        <w:t>Clinical Kidney Journal.</w:t>
      </w:r>
    </w:p>
    <w:p w14:paraId="107EE4C1" w14:textId="77777777" w:rsidR="00733140" w:rsidRDefault="00000000">
      <w:pPr>
        <w:spacing w:after="80"/>
      </w:pPr>
      <w:r>
        <w:rPr>
          <w:color w:val="555555"/>
        </w:rPr>
        <w:t xml:space="preserve">Mayer K, Haupenthal F, Strassl R, … </w:t>
      </w:r>
      <w:r>
        <w:rPr>
          <w:b/>
          <w:bCs/>
        </w:rPr>
        <w:t>Naar L</w:t>
      </w:r>
      <w:r>
        <w:rPr>
          <w:color w:val="555555"/>
        </w:rPr>
        <w:t xml:space="preserve">, … (2022). Torque Teno Virus Load in Kidney Transplantation: Association with Donor and Recipient Characteristics and Clinical Follow-Up Data. </w:t>
      </w:r>
      <w:r>
        <w:rPr>
          <w:i/>
          <w:iCs/>
          <w:color w:val="555555"/>
        </w:rPr>
        <w:t>Nephrology Dialysis Transplantation.</w:t>
      </w:r>
    </w:p>
    <w:p w14:paraId="6F1A6ABF" w14:textId="77777777" w:rsidR="00733140" w:rsidRDefault="00000000">
      <w:pPr>
        <w:spacing w:after="80"/>
      </w:pPr>
      <w:r>
        <w:rPr>
          <w:color w:val="555555"/>
        </w:rPr>
        <w:t xml:space="preserve">Haupenthal F, Klaeger J, … </w:t>
      </w:r>
      <w:r>
        <w:rPr>
          <w:b/>
          <w:bCs/>
        </w:rPr>
        <w:t>Naar L</w:t>
      </w:r>
      <w:r>
        <w:rPr>
          <w:color w:val="555555"/>
        </w:rPr>
        <w:t xml:space="preserve">, … (2022). Proteinuria in Deceased Kidney Transplant Donors for Prediction of Chronic Lesions in Pretransplant Biopsies. </w:t>
      </w:r>
      <w:r>
        <w:rPr>
          <w:i/>
          <w:iCs/>
          <w:color w:val="555555"/>
        </w:rPr>
        <w:t>Transplantation.</w:t>
      </w:r>
    </w:p>
    <w:p w14:paraId="637E08C9" w14:textId="77777777" w:rsidR="00733140" w:rsidRDefault="00000000">
      <w:pPr>
        <w:pBdr>
          <w:bottom w:val="single" w:sz="6" w:space="1" w:color="1F4E79"/>
        </w:pBdr>
        <w:spacing w:before="280" w:after="80"/>
      </w:pPr>
      <w:r>
        <w:rPr>
          <w:b/>
          <w:bCs/>
          <w:color w:val="1F4E79"/>
          <w:sz w:val="24"/>
          <w:szCs w:val="24"/>
        </w:rPr>
        <w:t>Languages</w:t>
      </w:r>
    </w:p>
    <w:p w14:paraId="7523FA55" w14:textId="77777777" w:rsidR="00733140" w:rsidRDefault="00000000">
      <w:pPr>
        <w:spacing w:before="100" w:after="80"/>
      </w:pPr>
      <w:r>
        <w:t>German (native)  ·  English (fluent)  ·  Spanish (fluent)</w:t>
      </w:r>
    </w:p>
    <w:sectPr w:rsidR="00733140">
      <w:pgSz w:w="11906" w:h="16838"/>
      <w:pgMar w:top="1200" w:right="1200" w:bottom="1200" w:left="120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38554C1"/>
    <w:multiLevelType w:val="hybridMultilevel"/>
    <w:tmpl w:val="8BD4A616"/>
    <w:lvl w:ilvl="0" w:tplc="4566E26A">
      <w:start w:val="1"/>
      <w:numFmt w:val="bullet"/>
      <w:lvlText w:val="●"/>
      <w:lvlJc w:val="left"/>
      <w:pPr>
        <w:ind w:left="720" w:hanging="360"/>
      </w:pPr>
    </w:lvl>
    <w:lvl w:ilvl="1" w:tplc="AADEBB8C">
      <w:start w:val="1"/>
      <w:numFmt w:val="bullet"/>
      <w:lvlText w:val="○"/>
      <w:lvlJc w:val="left"/>
      <w:pPr>
        <w:ind w:left="1440" w:hanging="360"/>
      </w:pPr>
    </w:lvl>
    <w:lvl w:ilvl="2" w:tplc="643488AC">
      <w:start w:val="1"/>
      <w:numFmt w:val="bullet"/>
      <w:lvlText w:val="■"/>
      <w:lvlJc w:val="left"/>
      <w:pPr>
        <w:ind w:left="2160" w:hanging="360"/>
      </w:pPr>
    </w:lvl>
    <w:lvl w:ilvl="3" w:tplc="B1C4623C">
      <w:start w:val="1"/>
      <w:numFmt w:val="bullet"/>
      <w:lvlText w:val="●"/>
      <w:lvlJc w:val="left"/>
      <w:pPr>
        <w:ind w:left="2880" w:hanging="360"/>
      </w:pPr>
    </w:lvl>
    <w:lvl w:ilvl="4" w:tplc="F46C8200">
      <w:start w:val="1"/>
      <w:numFmt w:val="bullet"/>
      <w:lvlText w:val="○"/>
      <w:lvlJc w:val="left"/>
      <w:pPr>
        <w:ind w:left="3600" w:hanging="360"/>
      </w:pPr>
    </w:lvl>
    <w:lvl w:ilvl="5" w:tplc="A13C1192">
      <w:start w:val="1"/>
      <w:numFmt w:val="bullet"/>
      <w:lvlText w:val="■"/>
      <w:lvlJc w:val="left"/>
      <w:pPr>
        <w:ind w:left="4320" w:hanging="360"/>
      </w:pPr>
    </w:lvl>
    <w:lvl w:ilvl="6" w:tplc="8974CD70">
      <w:start w:val="1"/>
      <w:numFmt w:val="bullet"/>
      <w:lvlText w:val="●"/>
      <w:lvlJc w:val="left"/>
      <w:pPr>
        <w:ind w:left="5040" w:hanging="360"/>
      </w:pPr>
    </w:lvl>
    <w:lvl w:ilvl="7" w:tplc="C8FC0C7A">
      <w:start w:val="1"/>
      <w:numFmt w:val="bullet"/>
      <w:lvlText w:val="●"/>
      <w:lvlJc w:val="left"/>
      <w:pPr>
        <w:ind w:left="5760" w:hanging="360"/>
      </w:pPr>
    </w:lvl>
    <w:lvl w:ilvl="8" w:tplc="0F6281DC">
      <w:start w:val="1"/>
      <w:numFmt w:val="bullet"/>
      <w:lvlText w:val="●"/>
      <w:lvlJc w:val="left"/>
      <w:pPr>
        <w:ind w:left="6480" w:hanging="360"/>
      </w:pPr>
    </w:lvl>
  </w:abstractNum>
  <w:num w:numId="1" w16cid:durableId="138426532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1"/>
  <w:displayBackgroundShape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3140"/>
    <w:rsid w:val="0002644C"/>
    <w:rsid w:val="00733140"/>
    <w:rsid w:val="009823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9357E27"/>
  <w15:docId w15:val="{F5623103-0EB0-BA43-ADBF-466FEAA40B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lang w:val="de-AT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berschrift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berschrift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berschrift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berschrift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berschrift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itel">
    <w:name w:val="Title"/>
    <w:uiPriority w:val="10"/>
    <w:qFormat/>
    <w:rPr>
      <w:sz w:val="56"/>
      <w:szCs w:val="56"/>
    </w:rPr>
  </w:style>
  <w:style w:type="paragraph" w:customStyle="1" w:styleId="Fett1">
    <w:name w:val="Fett1"/>
    <w:qFormat/>
    <w:rPr>
      <w:b/>
      <w:bCs/>
    </w:rPr>
  </w:style>
  <w:style w:type="paragraph" w:styleId="Listenabsatz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unotenzeichen">
    <w:name w:val="footnote reference"/>
    <w:uiPriority w:val="99"/>
    <w:semiHidden/>
    <w:unhideWhenUsed/>
    <w:rPr>
      <w:vertAlign w:val="superscript"/>
    </w:rPr>
  </w:style>
  <w:style w:type="paragraph" w:styleId="Funotentext">
    <w:name w:val="footnote text"/>
    <w:link w:val="FunotentextZchn"/>
    <w:uiPriority w:val="99"/>
    <w:semiHidden/>
    <w:unhideWhenUsed/>
  </w:style>
  <w:style w:type="character" w:customStyle="1" w:styleId="FunotentextZchn">
    <w:name w:val="Fußnotentext Zchn"/>
    <w:link w:val="Funotentext"/>
    <w:uiPriority w:val="99"/>
    <w:semiHidden/>
    <w:unhideWhenUsed/>
    <w:rPr>
      <w:sz w:val="20"/>
      <w:szCs w:val="20"/>
    </w:rPr>
  </w:style>
  <w:style w:type="character" w:styleId="Endnotenzeichen">
    <w:name w:val="endnote reference"/>
    <w:uiPriority w:val="99"/>
    <w:semiHidden/>
    <w:unhideWhenUsed/>
    <w:rPr>
      <w:vertAlign w:val="superscript"/>
    </w:rPr>
  </w:style>
  <w:style w:type="paragraph" w:styleId="Endnotentext">
    <w:name w:val="endnote text"/>
    <w:link w:val="EndnotentextZchn"/>
    <w:uiPriority w:val="99"/>
    <w:semiHidden/>
    <w:unhideWhenUsed/>
  </w:style>
  <w:style w:type="character" w:customStyle="1" w:styleId="EndnotentextZchn">
    <w:name w:val="Endnotentext Zchn"/>
    <w:link w:val="Endnoten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342</Words>
  <Characters>2160</Characters>
  <Application>Microsoft Office Word</Application>
  <DocSecurity>0</DocSecurity>
  <Lines>18</Lines>
  <Paragraphs>4</Paragraphs>
  <ScaleCrop>false</ScaleCrop>
  <Company/>
  <LinksUpToDate>false</LinksUpToDate>
  <CharactersWithSpaces>2498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StudentIn</cp:lastModifiedBy>
  <cp:revision>2</cp:revision>
  <dcterms:created xsi:type="dcterms:W3CDTF">2026-04-13T16:48:00Z</dcterms:created>
  <dcterms:modified xsi:type="dcterms:W3CDTF">2026-04-13T16:48:00Z</dcterms:modified>
</cp:coreProperties>
</file>